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ompactTitle"/>
        <w:jc w:val="center"/>
      </w:pPr>
      <w:r>
        <w:rPr>
          <w:rFonts w:ascii="Arial" w:hAnsi="Arial" w:eastAsia="Arial"/>
          <w:b/>
          <w:sz w:val="22"/>
        </w:rPr>
        <w:t>AVALIAÇÃO DE RECOMPOSIÇÃO DA APRENDIZAGEM</w:t>
      </w:r>
    </w:p>
    <w:p>
      <w:pPr>
        <w:pStyle w:val="CompactSubtitle"/>
        <w:jc w:val="center"/>
      </w:pPr>
      <w:r>
        <w:rPr>
          <w:rFonts w:ascii="Arial" w:hAnsi="Arial" w:eastAsia="Arial"/>
          <w:b/>
          <w:sz w:val="18"/>
        </w:rPr>
        <w:t>Língua Portuguesa — 1ª série do Ensino Médio</w:t>
      </w:r>
    </w:p>
    <w:tbl>
      <w:tblPr>
        <w:tblW w:type="auto" w:w="0"/>
        <w:jc w:val="center"/>
        <w:tblLayout w:type="fixed"/>
        <w:tblLook w:firstColumn="1" w:firstRow="1" w:lastColumn="0" w:lastRow="0" w:noHBand="0" w:noVBand="1" w:val="04A0"/>
      </w:tblPr>
      <w:tblGrid>
        <w:gridCol w:w="5610"/>
        <w:gridCol w:w="5610"/>
      </w:tblGrid>
      <w:tr>
        <w:trPr>
          <w:cantSplit/>
        </w:trPr>
        <w:tc>
          <w:tcPr>
            <w:tcW w:type="dxa" w:w="6690"/>
            <w:tcMar>
              <w:top w:w="35" w:type="dxa"/>
              <w:start w:w="45" w:type="dxa"/>
              <w:bottom w:w="35" w:type="dxa"/>
              <w:end w:w="45" w:type="dxa"/>
            </w:tcMar>
            <w:vAlign w:val="center"/>
          </w:tcPr>
          <w:p>
            <w:pPr>
              <w:spacing w:after="0" w:line="240" w:lineRule="auto"/>
            </w:pPr>
            <w:r>
              <w:rPr>
                <w:rFonts w:ascii="Arial" w:hAnsi="Arial" w:eastAsia="Arial"/>
                <w:b w:val="0"/>
                <w:sz w:val="18"/>
              </w:rPr>
              <w:t>Nome: _________________________________________________</w:t>
            </w:r>
          </w:p>
        </w:tc>
        <w:tc>
          <w:tcPr>
            <w:tcW w:type="dxa" w:w="3402"/>
            <w:tcMar>
              <w:top w:w="35" w:type="dxa"/>
              <w:start w:w="45" w:type="dxa"/>
              <w:bottom w:w="35" w:type="dxa"/>
              <w:end w:w="45" w:type="dxa"/>
            </w:tcMar>
            <w:vAlign w:val="center"/>
          </w:tcPr>
          <w:p>
            <w:pPr>
              <w:spacing w:after="0" w:line="240" w:lineRule="auto"/>
            </w:pPr>
            <w:r>
              <w:rPr>
                <w:rFonts w:ascii="Arial" w:hAnsi="Arial" w:eastAsia="Arial"/>
                <w:b w:val="0"/>
                <w:sz w:val="18"/>
              </w:rPr>
              <w:t>Turma: ____________</w:t>
            </w:r>
          </w:p>
        </w:tc>
      </w:tr>
      <w:tr>
        <w:trPr>
          <w:cantSplit/>
        </w:trPr>
        <w:tc>
          <w:tcPr>
            <w:tcW w:type="dxa" w:w="6690"/>
            <w:tcMar>
              <w:top w:w="35" w:type="dxa"/>
              <w:start w:w="45" w:type="dxa"/>
              <w:bottom w:w="35" w:type="dxa"/>
              <w:end w:w="45" w:type="dxa"/>
            </w:tcMar>
            <w:vAlign w:val="center"/>
          </w:tcPr>
          <w:p>
            <w:pPr>
              <w:spacing w:after="0" w:line="240" w:lineRule="auto"/>
            </w:pPr>
            <w:r>
              <w:rPr>
                <w:rFonts w:ascii="Arial" w:hAnsi="Arial" w:eastAsia="Arial"/>
                <w:b w:val="0"/>
                <w:sz w:val="18"/>
              </w:rPr>
              <w:t>Professora: ____________________________________________</w:t>
            </w:r>
          </w:p>
        </w:tc>
        <w:tc>
          <w:tcPr>
            <w:tcW w:type="dxa" w:w="3402"/>
            <w:tcMar>
              <w:top w:w="35" w:type="dxa"/>
              <w:start w:w="45" w:type="dxa"/>
              <w:bottom w:w="35" w:type="dxa"/>
              <w:end w:w="45" w:type="dxa"/>
            </w:tcMar>
            <w:vAlign w:val="center"/>
          </w:tcPr>
          <w:p>
            <w:pPr>
              <w:spacing w:after="0" w:line="240" w:lineRule="auto"/>
            </w:pPr>
            <w:r>
              <w:rPr>
                <w:rFonts w:ascii="Arial" w:hAnsi="Arial" w:eastAsia="Arial"/>
                <w:b/>
                <w:sz w:val="18"/>
              </w:rPr>
              <w:t>Data: ____/____/______   Valor: 8,0</w:t>
            </w:r>
          </w:p>
        </w:tc>
      </w:tr>
    </w:tbl>
    <w:tbl>
      <w:tblPr>
        <w:tblW w:type="auto" w:w="0"/>
        <w:jc w:val="center"/>
        <w:tblLayout w:type="autofit"/>
        <w:tblLook w:firstColumn="1" w:firstRow="1" w:lastColumn="0" w:lastRow="0" w:noHBand="0" w:noVBand="1" w:val="04A0"/>
      </w:tblPr>
      <w:tblGrid>
        <w:gridCol w:w="11220"/>
      </w:tblGrid>
      <w:tr>
        <w:trPr>
          <w:cantSplit/>
        </w:trPr>
        <w:tc>
          <w:tcPr>
            <w:tcW w:type="dxa" w:w="11220"/>
            <w:shd w:fill="E7EEF6"/>
            <w:tcMar>
              <w:top w:w="45" w:type="dxa"/>
              <w:start w:w="70" w:type="dxa"/>
              <w:bottom w:w="45" w:type="dxa"/>
              <w:end w:w="70" w:type="dxa"/>
            </w:tcMar>
          </w:tcPr>
          <w:p>
            <w:pPr>
              <w:spacing w:after="0" w:line="240" w:lineRule="auto"/>
              <w:jc w:val="left"/>
            </w:pPr>
            <w:r>
              <w:rPr>
                <w:rFonts w:ascii="Arial" w:hAnsi="Arial" w:eastAsia="Arial"/>
                <w:b/>
                <w:sz w:val="18"/>
              </w:rPr>
              <w:t>ORIENTAÇÕES</w:t>
            </w:r>
          </w:p>
        </w:tc>
      </w:tr>
    </w:tbl>
    <w:p>
      <w:pPr>
        <w:spacing w:before="20" w:after="20" w:line="240" w:lineRule="auto"/>
      </w:pPr>
      <w:r>
        <w:rPr>
          <w:rFonts w:ascii="Arial" w:hAnsi="Arial" w:eastAsia="Arial"/>
          <w:sz w:val="18"/>
        </w:rPr>
        <w:t>Leia atentamente os textos e os comandos. Assinale apenas uma alternativa em cada questão. Volte ao texto sempre que necessário e leia todas as alternativas antes de escolher sua resposta. Algumas opções podem trazer informações relacionadas ao texto, mas apenas uma responde adequadamente ao comando.</w:t>
      </w:r>
    </w:p>
    <w:tbl>
      <w:tblPr>
        <w:tblW w:type="auto" w:w="0"/>
        <w:jc w:val="center"/>
        <w:tblLayout w:type="autofit"/>
        <w:tblLook w:firstColumn="1" w:firstRow="1" w:lastColumn="0" w:lastRow="0" w:noHBand="0" w:noVBand="1" w:val="04A0"/>
      </w:tblPr>
      <w:tblGrid>
        <w:gridCol w:w="11220"/>
      </w:tblGrid>
      <w:tr>
        <w:trPr>
          <w:cantSplit/>
        </w:trPr>
        <w:tc>
          <w:tcPr>
            <w:tcW w:type="dxa" w:w="11220"/>
            <w:shd w:fill="E7EEF6"/>
            <w:tcMar>
              <w:top w:w="45" w:type="dxa"/>
              <w:start w:w="70" w:type="dxa"/>
              <w:bottom w:w="45" w:type="dxa"/>
              <w:end w:w="70" w:type="dxa"/>
            </w:tcMar>
          </w:tcPr>
          <w:p>
            <w:pPr>
              <w:spacing w:after="0" w:line="240" w:lineRule="auto"/>
              <w:jc w:val="left"/>
            </w:pPr>
            <w:r>
              <w:rPr>
                <w:rFonts w:ascii="Arial" w:hAnsi="Arial" w:eastAsia="Arial"/>
                <w:b/>
                <w:sz w:val="18"/>
              </w:rPr>
              <w:t>TEXTO I — SAÚDE E ACESSO</w:t>
            </w:r>
          </w:p>
        </w:tc>
      </w:tr>
    </w:tbl>
    <w:p>
      <w:pPr>
        <w:spacing w:after="0" w:line="240" w:lineRule="auto"/>
        <w:ind w:firstLine="283"/>
      </w:pPr>
      <w:r>
        <w:rPr>
          <w:rFonts w:ascii="Arial" w:hAnsi="Arial" w:eastAsia="Arial"/>
          <w:i w:val="0"/>
          <w:sz w:val="18"/>
        </w:rPr>
        <w:t>Um levantamento internacional revelou que uma parcela expressiva da população mundial convive com condições que afetam o sistema nervoso. Especialistas alertam que muitas dessas condições podem ser prevenidas ou tratadas, mas milhões de pessoas ainda encontram dificuldades para receber atendimento adequado.</w:t>
      </w:r>
    </w:p>
    <w:p>
      <w:pPr>
        <w:spacing w:after="0" w:line="240" w:lineRule="auto"/>
        <w:ind w:firstLine="283"/>
      </w:pPr>
      <w:r>
        <w:rPr>
          <w:rFonts w:ascii="Arial" w:hAnsi="Arial" w:eastAsia="Arial"/>
          <w:i w:val="0"/>
          <w:sz w:val="18"/>
        </w:rPr>
        <w:t>O problema é mais grave em regiões rurais e socialmente vulneráveis, nas quais a distância dos serviços de saúde, as dificuldades financeiras e o preconceito podem atrasar o diagnóstico e o tratamento. Por isso, especialistas defendem a ampliação do acesso à prevenção e ao acompanhamento médico.</w:t>
      </w:r>
    </w:p>
    <w:p>
      <w:pPr>
        <w:pStyle w:val="Question"/>
        <w:keepNext/>
      </w:pPr>
      <w:r>
        <w:rPr>
          <w:rFonts w:ascii="Arial" w:hAnsi="Arial" w:eastAsia="Arial"/>
          <w:b/>
          <w:sz w:val="18"/>
        </w:rPr>
        <w:t xml:space="preserve">1 – No texto, a informação de que uma parcela expressiva da população mundial convive com condições que afetam o sistema nervoso é utilizada principalmente para: </w:t>
      </w:r>
      <w:r>
        <w:rPr>
          <w:rFonts w:ascii="Arial" w:hAnsi="Arial" w:eastAsia="Arial"/>
          <w:b/>
          <w:sz w:val="18"/>
        </w:rPr>
        <w:t>(0,5)</w:t>
      </w:r>
    </w:p>
    <w:p>
      <w:pPr>
        <w:pStyle w:val="Option"/>
        <w:keepLines/>
        <w:ind w:left="142" w:hanging="142"/>
      </w:pPr>
      <w:r>
        <w:rPr>
          <w:rFonts w:ascii="Arial" w:hAnsi="Arial" w:eastAsia="Arial"/>
          <w:sz w:val="18"/>
        </w:rPr>
        <w:t>A) reforçar a dimensão do problema e sustentar a necessidade de ampliar o atendimento.</w:t>
      </w:r>
    </w:p>
    <w:p>
      <w:pPr>
        <w:pStyle w:val="Option"/>
        <w:keepLines/>
        <w:ind w:left="142" w:hanging="142"/>
      </w:pPr>
      <w:r>
        <w:rPr>
          <w:rFonts w:ascii="Arial" w:hAnsi="Arial" w:eastAsia="Arial"/>
          <w:sz w:val="18"/>
        </w:rPr>
        <w:t>B) demonstrar que essas condições atingem exclusivamente populações socialmente vulneráveis.</w:t>
      </w:r>
    </w:p>
    <w:p>
      <w:pPr>
        <w:pStyle w:val="Option"/>
        <w:keepLines/>
        <w:ind w:left="142" w:hanging="142"/>
      </w:pPr>
      <w:r>
        <w:rPr>
          <w:rFonts w:ascii="Arial" w:hAnsi="Arial" w:eastAsia="Arial"/>
          <w:sz w:val="18"/>
        </w:rPr>
        <w:t>C) comprovar que essas condições surgem principalmente em razão da falta de atendimento médico.</w:t>
      </w:r>
    </w:p>
    <w:p>
      <w:pPr>
        <w:pStyle w:val="Option"/>
        <w:keepLines/>
        <w:ind w:left="142" w:hanging="142"/>
      </w:pPr>
      <w:r>
        <w:rPr>
          <w:rFonts w:ascii="Arial" w:hAnsi="Arial" w:eastAsia="Arial"/>
          <w:sz w:val="18"/>
        </w:rPr>
        <w:t>D) comparar a eficiência dos sistemas de saúde existentes em diferentes regiões.</w:t>
      </w:r>
    </w:p>
    <w:p>
      <w:pPr>
        <w:pStyle w:val="Option"/>
        <w:keepLines/>
        <w:ind w:left="142" w:hanging="142"/>
      </w:pPr>
      <w:r>
        <w:rPr>
          <w:rFonts w:ascii="Arial" w:hAnsi="Arial" w:eastAsia="Arial"/>
          <w:sz w:val="18"/>
        </w:rPr>
        <w:t>E) defender que as ações de prevenção devem substituir os tratamentos já disponíveis.</w:t>
      </w:r>
    </w:p>
    <w:p>
      <w:pPr>
        <w:pStyle w:val="Question"/>
        <w:keepNext/>
      </w:pPr>
      <w:r>
        <w:rPr>
          <w:rFonts w:ascii="Arial" w:hAnsi="Arial" w:eastAsia="Arial"/>
          <w:b/>
          <w:sz w:val="18"/>
        </w:rPr>
        <w:t xml:space="preserve">2 – De acordo com o texto, a dificuldade de acesso aos serviços de saúde pode: </w:t>
      </w:r>
      <w:r>
        <w:rPr>
          <w:rFonts w:ascii="Arial" w:hAnsi="Arial" w:eastAsia="Arial"/>
          <w:b/>
          <w:sz w:val="18"/>
        </w:rPr>
        <w:t>(0,5)</w:t>
      </w:r>
    </w:p>
    <w:p>
      <w:pPr>
        <w:pStyle w:val="Option"/>
        <w:keepLines/>
        <w:ind w:left="142" w:hanging="142"/>
      </w:pPr>
      <w:r>
        <w:rPr>
          <w:rFonts w:ascii="Arial" w:hAnsi="Arial" w:eastAsia="Arial"/>
          <w:sz w:val="18"/>
        </w:rPr>
        <w:t>A) provocar diretamente o surgimento das condições que afetam o sistema nervoso.</w:t>
      </w:r>
    </w:p>
    <w:p>
      <w:pPr>
        <w:pStyle w:val="Option"/>
        <w:keepLines/>
        <w:ind w:left="142" w:hanging="142"/>
      </w:pPr>
      <w:r>
        <w:rPr>
          <w:rFonts w:ascii="Arial" w:hAnsi="Arial" w:eastAsia="Arial"/>
          <w:sz w:val="18"/>
        </w:rPr>
        <w:t>B) agravar seus impactos ao dificultar o diagnóstico e o tratamento adequados.</w:t>
      </w:r>
    </w:p>
    <w:p>
      <w:pPr>
        <w:pStyle w:val="Option"/>
        <w:keepLines/>
        <w:ind w:left="142" w:hanging="142"/>
      </w:pPr>
      <w:r>
        <w:rPr>
          <w:rFonts w:ascii="Arial" w:hAnsi="Arial" w:eastAsia="Arial"/>
          <w:sz w:val="18"/>
        </w:rPr>
        <w:t>C) tornar desnecessárias as medidas destinadas à prevenção.</w:t>
      </w:r>
    </w:p>
    <w:p>
      <w:pPr>
        <w:pStyle w:val="Option"/>
        <w:keepLines/>
        <w:ind w:left="142" w:hanging="142"/>
      </w:pPr>
      <w:r>
        <w:rPr>
          <w:rFonts w:ascii="Arial" w:hAnsi="Arial" w:eastAsia="Arial"/>
          <w:sz w:val="18"/>
        </w:rPr>
        <w:t>D) reduzir a ocorrência dessas condições nas regiões mais afastadas.</w:t>
      </w:r>
    </w:p>
    <w:p>
      <w:pPr>
        <w:pStyle w:val="Option"/>
        <w:keepLines/>
        <w:ind w:left="142" w:hanging="142"/>
      </w:pPr>
      <w:r>
        <w:rPr>
          <w:rFonts w:ascii="Arial" w:hAnsi="Arial" w:eastAsia="Arial"/>
          <w:sz w:val="18"/>
        </w:rPr>
        <w:t>E) explicar, por si só, todas as diferenças de saúde existentes entre as populações.</w:t>
      </w:r>
    </w:p>
    <w:p>
      <w:pPr>
        <w:pStyle w:val="Question"/>
        <w:keepNext/>
      </w:pPr>
      <w:r>
        <w:rPr>
          <w:rFonts w:ascii="Arial" w:hAnsi="Arial" w:eastAsia="Arial"/>
          <w:b/>
          <w:sz w:val="18"/>
        </w:rPr>
        <w:t xml:space="preserve">3 – No trecho “Especialistas alertam que muitas dessas condições podem ser prevenidas ou tratadas...”, a expressão “dessas condições” retoma: </w:t>
      </w:r>
      <w:r>
        <w:rPr>
          <w:rFonts w:ascii="Arial" w:hAnsi="Arial" w:eastAsia="Arial"/>
          <w:b/>
          <w:sz w:val="18"/>
        </w:rPr>
        <w:t>(0,5)</w:t>
      </w:r>
    </w:p>
    <w:p>
      <w:pPr>
        <w:pStyle w:val="Option"/>
        <w:keepLines/>
        <w:ind w:left="142" w:hanging="142"/>
      </w:pPr>
      <w:r>
        <w:rPr>
          <w:rFonts w:ascii="Arial" w:hAnsi="Arial" w:eastAsia="Arial"/>
          <w:sz w:val="18"/>
        </w:rPr>
        <w:t>A) as dificuldades financeiras.</w:t>
      </w:r>
    </w:p>
    <w:p>
      <w:pPr>
        <w:pStyle w:val="Option"/>
        <w:keepLines/>
        <w:ind w:left="142" w:hanging="142"/>
      </w:pPr>
      <w:r>
        <w:rPr>
          <w:rFonts w:ascii="Arial" w:hAnsi="Arial" w:eastAsia="Arial"/>
          <w:sz w:val="18"/>
        </w:rPr>
        <w:t>B) as regiões rurais.</w:t>
      </w:r>
    </w:p>
    <w:p>
      <w:pPr>
        <w:pStyle w:val="Option"/>
        <w:keepLines/>
        <w:ind w:left="142" w:hanging="142"/>
      </w:pPr>
      <w:r>
        <w:rPr>
          <w:rFonts w:ascii="Arial" w:hAnsi="Arial" w:eastAsia="Arial"/>
          <w:sz w:val="18"/>
        </w:rPr>
        <w:t>C) os serviços de saúde.</w:t>
      </w:r>
    </w:p>
    <w:p>
      <w:pPr>
        <w:pStyle w:val="Option"/>
        <w:keepLines/>
        <w:ind w:left="142" w:hanging="142"/>
      </w:pPr>
      <w:r>
        <w:rPr>
          <w:rFonts w:ascii="Arial" w:hAnsi="Arial" w:eastAsia="Arial"/>
          <w:sz w:val="18"/>
        </w:rPr>
        <w:t>D) os diagnósticos médicos.</w:t>
      </w:r>
    </w:p>
    <w:p>
      <w:pPr>
        <w:pStyle w:val="Option"/>
        <w:keepLines/>
        <w:ind w:left="142" w:hanging="142"/>
      </w:pPr>
      <w:r>
        <w:rPr>
          <w:rFonts w:ascii="Arial" w:hAnsi="Arial" w:eastAsia="Arial"/>
          <w:sz w:val="18"/>
        </w:rPr>
        <w:t>E) as condições que afetam o sistema nervoso.</w:t>
      </w:r>
    </w:p>
    <w:tbl>
      <w:tblPr>
        <w:tblW w:type="auto" w:w="0"/>
        <w:jc w:val="center"/>
        <w:tblLayout w:type="autofit"/>
        <w:tblLook w:firstColumn="1" w:firstRow="1" w:lastColumn="0" w:lastRow="0" w:noHBand="0" w:noVBand="1" w:val="04A0"/>
      </w:tblPr>
      <w:tblGrid>
        <w:gridCol w:w="11220"/>
      </w:tblGrid>
      <w:tr>
        <w:trPr>
          <w:cantSplit/>
        </w:trPr>
        <w:tc>
          <w:tcPr>
            <w:tcW w:type="dxa" w:w="11220"/>
            <w:shd w:fill="E7EEF6"/>
            <w:tcMar>
              <w:top w:w="45" w:type="dxa"/>
              <w:start w:w="70" w:type="dxa"/>
              <w:bottom w:w="45" w:type="dxa"/>
              <w:end w:w="70" w:type="dxa"/>
            </w:tcMar>
          </w:tcPr>
          <w:p>
            <w:pPr>
              <w:spacing w:after="0" w:line="240" w:lineRule="auto"/>
              <w:jc w:val="left"/>
            </w:pPr>
            <w:r>
              <w:rPr>
                <w:rFonts w:ascii="Arial" w:hAnsi="Arial" w:eastAsia="Arial"/>
                <w:b/>
                <w:sz w:val="18"/>
              </w:rPr>
              <w:t>TEXTO II — UM MISTÉRIO COLOCADO À PROVA</w:t>
            </w:r>
          </w:p>
        </w:tc>
      </w:tr>
    </w:tbl>
    <w:p>
      <w:pPr>
        <w:spacing w:after="0" w:line="240" w:lineRule="auto"/>
        <w:ind w:firstLine="283"/>
      </w:pPr>
      <w:r>
        <w:rPr>
          <w:rFonts w:ascii="Arial" w:hAnsi="Arial" w:eastAsia="Arial"/>
          <w:i w:val="0"/>
          <w:sz w:val="18"/>
        </w:rPr>
        <w:t>Durante muito tempo, pesquisadores discutiram como enormes estátuas poderiam ter sido transportadas por antigos habitantes de uma ilha do Pacífico.</w:t>
      </w:r>
    </w:p>
    <w:p>
      <w:pPr>
        <w:spacing w:after="0" w:line="240" w:lineRule="auto"/>
        <w:ind w:firstLine="283"/>
      </w:pPr>
      <w:r>
        <w:rPr>
          <w:rFonts w:ascii="Arial" w:hAnsi="Arial" w:eastAsia="Arial"/>
          <w:i w:val="0"/>
          <w:sz w:val="18"/>
        </w:rPr>
        <w:t>Em experimentos recentes, pesquisadores construíram modelos e testaram diferentes formas de movimentação. Ao utilizar cordas e reproduzir características das antigas estradas, conseguiram deslocar uma réplica com um grupo relativamente pequeno de pessoas.</w:t>
      </w:r>
    </w:p>
    <w:p>
      <w:pPr>
        <w:spacing w:after="0" w:line="240" w:lineRule="auto"/>
        <w:ind w:firstLine="283"/>
      </w:pPr>
      <w:r>
        <w:rPr>
          <w:rFonts w:ascii="Arial" w:hAnsi="Arial" w:eastAsia="Arial"/>
          <w:i w:val="0"/>
          <w:sz w:val="18"/>
        </w:rPr>
        <w:t>Os resultados sugerem que as estradas não eram apenas caminhos entre diferentes pontos: sua estrutura fazia parte do próprio sistema utilizado para movimentar as estátuas.</w:t>
      </w:r>
    </w:p>
    <w:p>
      <w:pPr>
        <w:pStyle w:val="Question"/>
        <w:keepNext/>
      </w:pPr>
      <w:r>
        <w:rPr>
          <w:rFonts w:ascii="Arial" w:hAnsi="Arial" w:eastAsia="Arial"/>
          <w:b/>
          <w:sz w:val="18"/>
        </w:rPr>
        <w:t xml:space="preserve">4 – De acordo com o texto, qual relação pode ser estabelecida entre a estrutura das estradas e o transporte das estátuas? </w:t>
      </w:r>
      <w:r>
        <w:rPr>
          <w:rFonts w:ascii="Arial" w:hAnsi="Arial" w:eastAsia="Arial"/>
          <w:b/>
          <w:sz w:val="18"/>
        </w:rPr>
        <w:t>(0,5)</w:t>
      </w:r>
    </w:p>
    <w:p>
      <w:pPr>
        <w:pStyle w:val="Option"/>
        <w:keepLines/>
        <w:ind w:left="142" w:hanging="142"/>
      </w:pPr>
      <w:r>
        <w:rPr>
          <w:rFonts w:ascii="Arial" w:hAnsi="Arial" w:eastAsia="Arial"/>
          <w:sz w:val="18"/>
        </w:rPr>
        <w:t>A) As estátuas eram transportadas apesar das dificuldades provocadas pelas estradas.</w:t>
      </w:r>
    </w:p>
    <w:p>
      <w:pPr>
        <w:pStyle w:val="Option"/>
        <w:keepLines/>
        <w:ind w:left="142" w:hanging="142"/>
      </w:pPr>
      <w:r>
        <w:rPr>
          <w:rFonts w:ascii="Arial" w:hAnsi="Arial" w:eastAsia="Arial"/>
          <w:sz w:val="18"/>
        </w:rPr>
        <w:t>B) As estradas passaram a ser construídas somente após o transporte das estátuas.</w:t>
      </w:r>
    </w:p>
    <w:p>
      <w:pPr>
        <w:pStyle w:val="Option"/>
        <w:keepLines/>
        <w:ind w:left="142" w:hanging="142"/>
      </w:pPr>
      <w:r>
        <w:rPr>
          <w:rFonts w:ascii="Arial" w:hAnsi="Arial" w:eastAsia="Arial"/>
          <w:sz w:val="18"/>
        </w:rPr>
        <w:t>C) A estrutura das estradas contribuía para possibilitar o deslocamento das estátuas.</w:t>
      </w:r>
    </w:p>
    <w:p>
      <w:pPr>
        <w:pStyle w:val="Option"/>
        <w:keepLines/>
        <w:ind w:left="142" w:hanging="142"/>
      </w:pPr>
      <w:r>
        <w:rPr>
          <w:rFonts w:ascii="Arial" w:hAnsi="Arial" w:eastAsia="Arial"/>
          <w:sz w:val="18"/>
        </w:rPr>
        <w:t>D) O formato das estradas era determinado apenas pelo peso das estátuas transportadas.</w:t>
      </w:r>
    </w:p>
    <w:p>
      <w:pPr>
        <w:pStyle w:val="Option"/>
        <w:keepLines/>
        <w:ind w:left="142" w:hanging="142"/>
      </w:pPr>
      <w:r>
        <w:rPr>
          <w:rFonts w:ascii="Arial" w:hAnsi="Arial" w:eastAsia="Arial"/>
          <w:sz w:val="18"/>
        </w:rPr>
        <w:t>E) O transporte das estátuas ocorria independentemente do planejamento dos caminhos utilizados.</w:t>
      </w:r>
    </w:p>
    <w:p>
      <w:pPr>
        <w:pStyle w:val="Question"/>
        <w:keepNext/>
      </w:pPr>
      <w:r>
        <w:rPr>
          <w:rFonts w:ascii="Arial" w:hAnsi="Arial" w:eastAsia="Arial"/>
          <w:b/>
          <w:sz w:val="18"/>
        </w:rPr>
        <w:t xml:space="preserve">5 – Na expressão “a estrutura das estradas ajudava a viabilizar o deslocamento das estátuas”, a palavra “viabilizar” significa, nesse contexto: </w:t>
      </w:r>
      <w:r>
        <w:rPr>
          <w:rFonts w:ascii="Arial" w:hAnsi="Arial" w:eastAsia="Arial"/>
          <w:b/>
          <w:sz w:val="18"/>
        </w:rPr>
        <w:t>(0,5)</w:t>
      </w:r>
    </w:p>
    <w:p>
      <w:pPr>
        <w:pStyle w:val="Option"/>
        <w:keepLines/>
        <w:ind w:left="142" w:hanging="142"/>
      </w:pPr>
      <w:r>
        <w:rPr>
          <w:rFonts w:ascii="Arial" w:hAnsi="Arial" w:eastAsia="Arial"/>
          <w:sz w:val="18"/>
        </w:rPr>
        <w:t>A) registrar.</w:t>
      </w:r>
    </w:p>
    <w:p>
      <w:pPr>
        <w:pStyle w:val="Option"/>
        <w:keepLines/>
        <w:ind w:left="142" w:hanging="142"/>
      </w:pPr>
      <w:r>
        <w:rPr>
          <w:rFonts w:ascii="Arial" w:hAnsi="Arial" w:eastAsia="Arial"/>
          <w:sz w:val="18"/>
        </w:rPr>
        <w:t>B) dificultar.</w:t>
      </w:r>
    </w:p>
    <w:p>
      <w:pPr>
        <w:pStyle w:val="Option"/>
        <w:keepLines/>
        <w:ind w:left="142" w:hanging="142"/>
      </w:pPr>
      <w:r>
        <w:rPr>
          <w:rFonts w:ascii="Arial" w:hAnsi="Arial" w:eastAsia="Arial"/>
          <w:sz w:val="18"/>
        </w:rPr>
        <w:t>C) observar.</w:t>
      </w:r>
    </w:p>
    <w:p>
      <w:pPr>
        <w:pStyle w:val="Option"/>
        <w:keepLines/>
        <w:ind w:left="142" w:hanging="142"/>
      </w:pPr>
      <w:r>
        <w:rPr>
          <w:rFonts w:ascii="Arial" w:hAnsi="Arial" w:eastAsia="Arial"/>
          <w:sz w:val="18"/>
        </w:rPr>
        <w:t>D) tornar possível.</w:t>
      </w:r>
    </w:p>
    <w:p>
      <w:pPr>
        <w:pStyle w:val="Option"/>
        <w:keepLines/>
        <w:ind w:left="142" w:hanging="142"/>
      </w:pPr>
      <w:r>
        <w:rPr>
          <w:rFonts w:ascii="Arial" w:hAnsi="Arial" w:eastAsia="Arial"/>
          <w:sz w:val="18"/>
        </w:rPr>
        <w:t>E) tornar mais rápido.</w:t>
      </w:r>
    </w:p>
    <w:tbl>
      <w:tblPr>
        <w:tblW w:type="auto" w:w="0"/>
        <w:jc w:val="center"/>
        <w:tblLayout w:type="autofit"/>
        <w:tblLook w:firstColumn="1" w:firstRow="1" w:lastColumn="0" w:lastRow="0" w:noHBand="0" w:noVBand="1" w:val="04A0"/>
      </w:tblPr>
      <w:tblGrid>
        <w:gridCol w:w="11220"/>
      </w:tblGrid>
      <w:tr>
        <w:trPr>
          <w:cantSplit/>
        </w:trPr>
        <w:tc>
          <w:tcPr>
            <w:tcW w:type="dxa" w:w="11220"/>
            <w:shd w:fill="E7EEF6"/>
            <w:tcMar>
              <w:top w:w="45" w:type="dxa"/>
              <w:start w:w="70" w:type="dxa"/>
              <w:bottom w:w="45" w:type="dxa"/>
              <w:end w:w="70" w:type="dxa"/>
            </w:tcMar>
          </w:tcPr>
          <w:p>
            <w:pPr>
              <w:spacing w:after="0" w:line="240" w:lineRule="auto"/>
              <w:jc w:val="left"/>
            </w:pPr>
            <w:r>
              <w:rPr>
                <w:rFonts w:ascii="Arial" w:hAnsi="Arial" w:eastAsia="Arial"/>
                <w:b/>
                <w:sz w:val="18"/>
              </w:rPr>
              <w:t>TEXTO III — ESCOLHAS QUE REVELAM PRIORIDADES</w:t>
            </w:r>
          </w:p>
        </w:tc>
      </w:tr>
    </w:tbl>
    <w:p>
      <w:pPr>
        <w:spacing w:after="0" w:line="240" w:lineRule="auto"/>
        <w:ind w:firstLine="283"/>
      </w:pPr>
      <w:r>
        <w:rPr>
          <w:rFonts w:ascii="Arial" w:hAnsi="Arial" w:eastAsia="Arial"/>
          <w:i w:val="0"/>
          <w:sz w:val="18"/>
        </w:rPr>
        <w:t>Um relatório sobre investimentos ambientais aponta uma grande diferença entre os recursos destinados à proteção ambiental e aqueles direcionados a setores com forte impacto sobre as emissões de carbono.</w:t>
      </w:r>
    </w:p>
    <w:p>
      <w:pPr>
        <w:spacing w:after="0" w:line="240" w:lineRule="auto"/>
        <w:ind w:firstLine="283"/>
      </w:pPr>
      <w:r>
        <w:rPr>
          <w:rFonts w:ascii="Arial" w:hAnsi="Arial" w:eastAsia="Arial"/>
          <w:i w:val="0"/>
          <w:sz w:val="18"/>
        </w:rPr>
        <w:t>Para os responsáveis pelo estudo, essa distribuição representa uma “prioridade perversa”, pois amplia recursos para atividades que contribuem para problemas ambientais enquanto comunidades socialmente vulneráveis continuam enfrentando enchentes, ondas de calor e falta de infraestrutura.</w:t>
      </w:r>
    </w:p>
    <w:p>
      <w:pPr>
        <w:spacing w:after="0" w:line="240" w:lineRule="auto"/>
        <w:ind w:firstLine="283"/>
      </w:pPr>
      <w:r>
        <w:rPr>
          <w:rFonts w:ascii="Arial" w:hAnsi="Arial" w:eastAsia="Arial"/>
          <w:i w:val="0"/>
          <w:sz w:val="18"/>
        </w:rPr>
        <w:t>O relatório também utiliza a expressão “racismo ambiental” para chamar atenção para o fato de que determinados grupos sociais e raciais estão mais expostos aos impactos ambientais e contam com menos recursos para enfrentá-los.</w:t>
      </w:r>
    </w:p>
    <w:p>
      <w:pPr>
        <w:spacing w:after="0" w:line="240" w:lineRule="auto"/>
        <w:ind w:firstLine="283"/>
      </w:pPr>
      <w:r>
        <w:rPr>
          <w:rFonts w:ascii="Arial" w:hAnsi="Arial" w:eastAsia="Arial"/>
          <w:i w:val="0"/>
          <w:sz w:val="18"/>
        </w:rPr>
        <w:t>Diante desse cenário, a organização responsável pelo estudo defende mudanças no financiamento climático, maior participação das comunidades atingidas nas decisões e prioridade de investimentos nos territórios mais vulneráveis.</w:t>
      </w:r>
    </w:p>
    <w:p>
      <w:pPr>
        <w:pStyle w:val="Question"/>
        <w:keepNext/>
      </w:pPr>
      <w:r>
        <w:rPr>
          <w:rFonts w:ascii="Arial" w:hAnsi="Arial" w:eastAsia="Arial"/>
          <w:b/>
          <w:sz w:val="18"/>
        </w:rPr>
        <w:t xml:space="preserve">6 – Ao empregar a expressão “prioridade perversa”, o texto produz um efeito de sentido que: </w:t>
      </w:r>
      <w:r>
        <w:rPr>
          <w:rFonts w:ascii="Arial" w:hAnsi="Arial" w:eastAsia="Arial"/>
          <w:b/>
          <w:sz w:val="18"/>
        </w:rPr>
        <w:t>(1,0)</w:t>
      </w:r>
    </w:p>
    <w:p>
      <w:pPr>
        <w:pStyle w:val="Option"/>
        <w:keepLines/>
        <w:ind w:left="142" w:hanging="142"/>
      </w:pPr>
      <w:r>
        <w:rPr>
          <w:rFonts w:ascii="Arial" w:hAnsi="Arial" w:eastAsia="Arial"/>
          <w:sz w:val="18"/>
        </w:rPr>
        <w:t>A) valoriza positivamente a forma como os recursos são distribuídos.</w:t>
      </w:r>
    </w:p>
    <w:p>
      <w:pPr>
        <w:pStyle w:val="Option"/>
        <w:keepLines/>
        <w:ind w:left="142" w:hanging="142"/>
      </w:pPr>
      <w:r>
        <w:rPr>
          <w:rFonts w:ascii="Arial" w:hAnsi="Arial" w:eastAsia="Arial"/>
          <w:sz w:val="18"/>
        </w:rPr>
        <w:t>B) apresenta de maneira neutra uma decisão relacionada ao orçamento.</w:t>
      </w:r>
    </w:p>
    <w:p>
      <w:pPr>
        <w:pStyle w:val="Option"/>
        <w:keepLines/>
        <w:ind w:left="142" w:hanging="142"/>
      </w:pPr>
      <w:r>
        <w:rPr>
          <w:rFonts w:ascii="Arial" w:hAnsi="Arial" w:eastAsia="Arial"/>
          <w:sz w:val="18"/>
        </w:rPr>
        <w:t>C) demonstra apenas surpresa diante da quantidade de recursos disponíveis.</w:t>
      </w:r>
    </w:p>
    <w:p>
      <w:pPr>
        <w:pStyle w:val="Option"/>
        <w:keepLines/>
        <w:ind w:left="142" w:hanging="142"/>
      </w:pPr>
      <w:r>
        <w:rPr>
          <w:rFonts w:ascii="Arial" w:hAnsi="Arial" w:eastAsia="Arial"/>
          <w:sz w:val="18"/>
        </w:rPr>
        <w:t>D) direciona uma crítica às próprias comunidades socialmente vulneráveis.</w:t>
      </w:r>
    </w:p>
    <w:p>
      <w:pPr>
        <w:pStyle w:val="Option"/>
        <w:keepLines/>
        <w:ind w:left="142" w:hanging="142"/>
      </w:pPr>
      <w:r>
        <w:rPr>
          <w:rFonts w:ascii="Arial" w:hAnsi="Arial" w:eastAsia="Arial"/>
          <w:sz w:val="18"/>
        </w:rPr>
        <w:t>E) reforça uma avaliação crítica sobre a maneira como os recursos são priorizados.</w:t>
      </w:r>
    </w:p>
    <w:p>
      <w:pPr>
        <w:pStyle w:val="Question"/>
        <w:keepNext/>
      </w:pPr>
      <w:r>
        <w:rPr>
          <w:rFonts w:ascii="Arial" w:hAnsi="Arial" w:eastAsia="Arial"/>
          <w:b/>
          <w:sz w:val="18"/>
        </w:rPr>
        <w:t xml:space="preserve">7 – No contexto do texto, a expressão “racismo ambiental” refere-se: </w:t>
      </w:r>
      <w:r>
        <w:rPr>
          <w:rFonts w:ascii="Arial" w:hAnsi="Arial" w:eastAsia="Arial"/>
          <w:b/>
          <w:sz w:val="18"/>
        </w:rPr>
        <w:t>(0,5)</w:t>
      </w:r>
    </w:p>
    <w:p>
      <w:pPr>
        <w:pStyle w:val="Option"/>
        <w:keepLines/>
        <w:ind w:left="142" w:hanging="142"/>
      </w:pPr>
      <w:r>
        <w:rPr>
          <w:rFonts w:ascii="Arial" w:hAnsi="Arial" w:eastAsia="Arial"/>
          <w:sz w:val="18"/>
        </w:rPr>
        <w:t>A) à ideia de que as diferenças raciais são responsáveis pelas mudanças climáticas.</w:t>
      </w:r>
    </w:p>
    <w:p>
      <w:pPr>
        <w:pStyle w:val="Option"/>
        <w:keepLines/>
        <w:ind w:left="142" w:hanging="142"/>
      </w:pPr>
      <w:r>
        <w:rPr>
          <w:rFonts w:ascii="Arial" w:hAnsi="Arial" w:eastAsia="Arial"/>
          <w:sz w:val="18"/>
        </w:rPr>
        <w:t>B) à proibição de determinados grupos sociais frequentarem áreas ambientalmente protegidas.</w:t>
      </w:r>
    </w:p>
    <w:p>
      <w:pPr>
        <w:pStyle w:val="Option"/>
        <w:keepLines/>
        <w:ind w:left="142" w:hanging="142"/>
      </w:pPr>
      <w:r>
        <w:rPr>
          <w:rFonts w:ascii="Arial" w:hAnsi="Arial" w:eastAsia="Arial"/>
          <w:sz w:val="18"/>
        </w:rPr>
        <w:t>C) à distribuição desigual dos riscos e danos ambientais entre diferentes grupos sociais e raciais.</w:t>
      </w:r>
    </w:p>
    <w:p>
      <w:pPr>
        <w:pStyle w:val="Option"/>
        <w:keepLines/>
        <w:ind w:left="142" w:hanging="142"/>
      </w:pPr>
      <w:r>
        <w:rPr>
          <w:rFonts w:ascii="Arial" w:hAnsi="Arial" w:eastAsia="Arial"/>
          <w:sz w:val="18"/>
        </w:rPr>
        <w:t>D) à presença de opiniões preconceituosas em discussões sobre preservação ambiental.</w:t>
      </w:r>
    </w:p>
    <w:p>
      <w:pPr>
        <w:pStyle w:val="Option"/>
        <w:keepLines/>
        <w:ind w:left="142" w:hanging="142"/>
      </w:pPr>
      <w:r>
        <w:rPr>
          <w:rFonts w:ascii="Arial" w:hAnsi="Arial" w:eastAsia="Arial"/>
          <w:sz w:val="18"/>
        </w:rPr>
        <w:t>E) à criação de políticas ambientais destinadas exclusivamente às populações rurais.</w:t>
      </w:r>
    </w:p>
    <w:p>
      <w:pPr>
        <w:pStyle w:val="Question"/>
        <w:keepNext/>
      </w:pPr>
      <w:r>
        <w:rPr>
          <w:rFonts w:ascii="Arial" w:hAnsi="Arial" w:eastAsia="Arial"/>
          <w:b/>
          <w:sz w:val="18"/>
        </w:rPr>
        <w:t xml:space="preserve">8 – Considerando o texto como um todo, qual é a principal posição defendida pela organização responsável pelo estudo? </w:t>
      </w:r>
      <w:r>
        <w:rPr>
          <w:rFonts w:ascii="Arial" w:hAnsi="Arial" w:eastAsia="Arial"/>
          <w:b/>
          <w:sz w:val="18"/>
        </w:rPr>
        <w:t>(1,0)</w:t>
      </w:r>
    </w:p>
    <w:p>
      <w:pPr>
        <w:pStyle w:val="Option"/>
        <w:keepLines/>
        <w:ind w:left="142" w:hanging="142"/>
      </w:pPr>
      <w:r>
        <w:rPr>
          <w:rFonts w:ascii="Arial" w:hAnsi="Arial" w:eastAsia="Arial"/>
          <w:sz w:val="18"/>
        </w:rPr>
        <w:t>A) Os setores responsáveis por emissões de carbono devem deixar de receber qualquer tipo de investimento.</w:t>
      </w:r>
    </w:p>
    <w:p>
      <w:pPr>
        <w:pStyle w:val="Option"/>
        <w:keepLines/>
        <w:ind w:left="142" w:hanging="142"/>
      </w:pPr>
      <w:r>
        <w:rPr>
          <w:rFonts w:ascii="Arial" w:hAnsi="Arial" w:eastAsia="Arial"/>
          <w:sz w:val="18"/>
        </w:rPr>
        <w:t>B) Os efeitos dos problemas ambientais atingem exclusivamente as comunidades socialmente vulneráveis.</w:t>
      </w:r>
    </w:p>
    <w:p>
      <w:pPr>
        <w:pStyle w:val="Option"/>
        <w:keepLines/>
        <w:ind w:left="142" w:hanging="142"/>
      </w:pPr>
      <w:r>
        <w:rPr>
          <w:rFonts w:ascii="Arial" w:hAnsi="Arial" w:eastAsia="Arial"/>
          <w:sz w:val="18"/>
        </w:rPr>
        <w:t>C) As comunidades afetadas devem assumir sozinhas todas as decisões relacionadas aos investimentos ambientais.</w:t>
      </w:r>
    </w:p>
    <w:p>
      <w:pPr>
        <w:pStyle w:val="Option"/>
        <w:keepLines/>
        <w:ind w:left="142" w:hanging="142"/>
      </w:pPr>
      <w:r>
        <w:rPr>
          <w:rFonts w:ascii="Arial" w:hAnsi="Arial" w:eastAsia="Arial"/>
          <w:sz w:val="18"/>
        </w:rPr>
        <w:t>D) O financiamento ambiental precisa ser reorganizado para reduzir desigualdades e ampliar a proteção das populações mais vulneráveis.</w:t>
      </w:r>
    </w:p>
    <w:p>
      <w:pPr>
        <w:pStyle w:val="Option"/>
        <w:keepLines/>
        <w:ind w:left="142" w:hanging="142"/>
      </w:pPr>
      <w:r>
        <w:rPr>
          <w:rFonts w:ascii="Arial" w:hAnsi="Arial" w:eastAsia="Arial"/>
          <w:sz w:val="18"/>
        </w:rPr>
        <w:t>E) A falta de estudos sobre orçamento público constitui a principal causa dos problemas ambientais.</w:t>
      </w:r>
    </w:p>
    <w:p>
      <w:pPr>
        <w:pStyle w:val="Question"/>
        <w:keepNext/>
      </w:pPr>
      <w:r>
        <w:rPr>
          <w:rFonts w:ascii="Arial" w:hAnsi="Arial" w:eastAsia="Arial"/>
          <w:b/>
          <w:sz w:val="18"/>
        </w:rPr>
        <w:t xml:space="preserve">9 – No período “Os investimentos em proteção ambiental permanecem reduzidos. Por outro lado, setores de maior impacto ambiental recebem recursos muito superiores”, a expressão “por outro lado” estabelece entre essas informações uma relação de: </w:t>
      </w:r>
      <w:r>
        <w:rPr>
          <w:rFonts w:ascii="Arial" w:hAnsi="Arial" w:eastAsia="Arial"/>
          <w:b/>
          <w:sz w:val="18"/>
        </w:rPr>
        <w:t>(0,5)</w:t>
      </w:r>
    </w:p>
    <w:p>
      <w:pPr>
        <w:pStyle w:val="Option"/>
        <w:keepLines/>
        <w:ind w:left="142" w:hanging="142"/>
      </w:pPr>
      <w:r>
        <w:rPr>
          <w:rFonts w:ascii="Arial" w:hAnsi="Arial" w:eastAsia="Arial"/>
          <w:sz w:val="18"/>
        </w:rPr>
        <w:t>A) explicação.</w:t>
      </w:r>
    </w:p>
    <w:p>
      <w:pPr>
        <w:pStyle w:val="Option"/>
        <w:keepLines/>
        <w:ind w:left="142" w:hanging="142"/>
      </w:pPr>
      <w:r>
        <w:rPr>
          <w:rFonts w:ascii="Arial" w:hAnsi="Arial" w:eastAsia="Arial"/>
          <w:sz w:val="18"/>
        </w:rPr>
        <w:t>B) consequência.</w:t>
      </w:r>
    </w:p>
    <w:p>
      <w:pPr>
        <w:pStyle w:val="Option"/>
        <w:keepLines/>
        <w:ind w:left="142" w:hanging="142"/>
      </w:pPr>
      <w:r>
        <w:rPr>
          <w:rFonts w:ascii="Arial" w:hAnsi="Arial" w:eastAsia="Arial"/>
          <w:sz w:val="18"/>
        </w:rPr>
        <w:t>C) contraste.</w:t>
      </w:r>
    </w:p>
    <w:p>
      <w:pPr>
        <w:pStyle w:val="Option"/>
        <w:keepLines/>
        <w:ind w:left="142" w:hanging="142"/>
      </w:pPr>
      <w:r>
        <w:rPr>
          <w:rFonts w:ascii="Arial" w:hAnsi="Arial" w:eastAsia="Arial"/>
          <w:sz w:val="18"/>
        </w:rPr>
        <w:t>D) condição.</w:t>
      </w:r>
    </w:p>
    <w:p>
      <w:pPr>
        <w:pStyle w:val="Option"/>
        <w:keepLines/>
        <w:ind w:left="142" w:hanging="142"/>
      </w:pPr>
      <w:r>
        <w:rPr>
          <w:rFonts w:ascii="Arial" w:hAnsi="Arial" w:eastAsia="Arial"/>
          <w:sz w:val="18"/>
        </w:rPr>
        <w:t>E) finalidade.</w:t>
      </w:r>
    </w:p>
    <w:p>
      <w:pPr>
        <w:pStyle w:val="Question"/>
        <w:keepNext/>
      </w:pPr>
      <w:r>
        <w:rPr>
          <w:rFonts w:ascii="Arial" w:hAnsi="Arial" w:eastAsia="Arial"/>
          <w:b/>
          <w:sz w:val="18"/>
        </w:rPr>
        <w:t xml:space="preserve">10 – Qual informação apresentada no texto funciona mais diretamente como argumento para sustentar a defesa de mudanças no financiamento ambiental? </w:t>
      </w:r>
      <w:r>
        <w:rPr>
          <w:rFonts w:ascii="Arial" w:hAnsi="Arial" w:eastAsia="Arial"/>
          <w:b/>
          <w:sz w:val="18"/>
        </w:rPr>
        <w:t>(0,5)</w:t>
      </w:r>
    </w:p>
    <w:p>
      <w:pPr>
        <w:pStyle w:val="Option"/>
        <w:keepLines/>
        <w:ind w:left="142" w:hanging="142"/>
      </w:pPr>
      <w:r>
        <w:rPr>
          <w:rFonts w:ascii="Arial" w:hAnsi="Arial" w:eastAsia="Arial"/>
          <w:sz w:val="18"/>
        </w:rPr>
        <w:t>A) Existe uma organização responsável pela produção do relatório.</w:t>
      </w:r>
    </w:p>
    <w:p>
      <w:pPr>
        <w:pStyle w:val="Option"/>
        <w:keepLines/>
        <w:ind w:left="142" w:hanging="142"/>
      </w:pPr>
      <w:r>
        <w:rPr>
          <w:rFonts w:ascii="Arial" w:hAnsi="Arial" w:eastAsia="Arial"/>
          <w:sz w:val="18"/>
        </w:rPr>
        <w:t>B) Diferentes setores da economia recebem investimentos públicos.</w:t>
      </w:r>
    </w:p>
    <w:p>
      <w:pPr>
        <w:pStyle w:val="Option"/>
        <w:keepLines/>
        <w:ind w:left="142" w:hanging="142"/>
      </w:pPr>
      <w:r>
        <w:rPr>
          <w:rFonts w:ascii="Arial" w:hAnsi="Arial" w:eastAsia="Arial"/>
          <w:sz w:val="18"/>
        </w:rPr>
        <w:t>C) A participação das comunidades aparece entre as propostas apresentadas.</w:t>
      </w:r>
    </w:p>
    <w:p>
      <w:pPr>
        <w:pStyle w:val="Option"/>
        <w:keepLines/>
        <w:ind w:left="142" w:hanging="142"/>
      </w:pPr>
      <w:r>
        <w:rPr>
          <w:rFonts w:ascii="Arial" w:hAnsi="Arial" w:eastAsia="Arial"/>
          <w:sz w:val="18"/>
        </w:rPr>
        <w:t>D) As questões ambientais são discutidas em diferentes espaços sociais.</w:t>
      </w:r>
    </w:p>
    <w:p>
      <w:pPr>
        <w:pStyle w:val="Option"/>
        <w:keepLines/>
        <w:ind w:left="142" w:hanging="142"/>
      </w:pPr>
      <w:r>
        <w:rPr>
          <w:rFonts w:ascii="Arial" w:hAnsi="Arial" w:eastAsia="Arial"/>
          <w:sz w:val="18"/>
        </w:rPr>
        <w:t>E) Comunidades vulneráveis estão mais expostas aos impactos ambientais e dispõem de menos recursos para enfrentá-los.</w:t>
      </w:r>
    </w:p>
    <w:tbl>
      <w:tblPr>
        <w:tblW w:type="auto" w:w="0"/>
        <w:jc w:val="center"/>
        <w:tblLayout w:type="autofit"/>
        <w:tblLook w:firstColumn="1" w:firstRow="1" w:lastColumn="0" w:lastRow="0" w:noHBand="0" w:noVBand="1" w:val="04A0"/>
      </w:tblPr>
      <w:tblGrid>
        <w:gridCol w:w="11220"/>
      </w:tblGrid>
      <w:tr>
        <w:trPr>
          <w:cantSplit/>
        </w:trPr>
        <w:tc>
          <w:tcPr>
            <w:tcW w:type="dxa" w:w="11220"/>
            <w:shd w:fill="E7EEF6"/>
            <w:tcMar>
              <w:top w:w="45" w:type="dxa"/>
              <w:start w:w="70" w:type="dxa"/>
              <w:bottom w:w="45" w:type="dxa"/>
              <w:end w:w="70" w:type="dxa"/>
            </w:tcMar>
          </w:tcPr>
          <w:p>
            <w:pPr>
              <w:spacing w:after="0" w:line="240" w:lineRule="auto"/>
              <w:jc w:val="left"/>
            </w:pPr>
            <w:r>
              <w:rPr>
                <w:rFonts w:ascii="Arial" w:hAnsi="Arial" w:eastAsia="Arial"/>
                <w:b/>
                <w:sz w:val="18"/>
              </w:rPr>
              <w:t>TEXTO IV — ANTES DE COMPARTILHAR, INVESTIGUE!</w:t>
            </w:r>
          </w:p>
        </w:tc>
      </w:tr>
    </w:tbl>
    <w:p>
      <w:pPr>
        <w:spacing w:after="0" w:line="240" w:lineRule="auto"/>
        <w:ind w:left="227" w:right="227"/>
      </w:pPr>
      <w:r>
        <w:rPr>
          <w:rFonts w:ascii="Arial" w:hAnsi="Arial" w:eastAsia="Arial"/>
          <w:b/>
          <w:sz w:val="18"/>
        </w:rPr>
        <w:t>Ei, estudante!</w:t>
      </w:r>
      <w:r>
        <w:br/>
      </w:r>
      <w:r>
        <w:rPr>
          <w:rFonts w:ascii="Arial" w:hAnsi="Arial" w:eastAsia="Arial"/>
          <w:b w:val="0"/>
          <w:sz w:val="18"/>
        </w:rPr>
        <w:t>Antes de compartilhar uma notícia, pare por alguns segundos. Confira a fonte, observe a data da publicação e procure saber se a mesma informação aparece em outros veículos confiáveis.</w:t>
      </w:r>
      <w:r>
        <w:br/>
      </w:r>
      <w:r>
        <w:rPr>
          <w:rFonts w:ascii="Arial" w:hAnsi="Arial" w:eastAsia="Arial"/>
          <w:b/>
          <w:sz w:val="18"/>
        </w:rPr>
        <w:t>Você também é responsável pelo que circula nas redes.</w:t>
      </w:r>
    </w:p>
    <w:p>
      <w:pPr>
        <w:pStyle w:val="Question"/>
        <w:keepNext/>
      </w:pPr>
      <w:r>
        <w:rPr>
          <w:rFonts w:ascii="Arial" w:hAnsi="Arial" w:eastAsia="Arial"/>
          <w:b/>
          <w:sz w:val="18"/>
        </w:rPr>
        <w:t xml:space="preserve">11 – As marcas linguísticas empregadas no texto indicam que essa mensagem se dirige principalmente: </w:t>
      </w:r>
      <w:r>
        <w:rPr>
          <w:rFonts w:ascii="Arial" w:hAnsi="Arial" w:eastAsia="Arial"/>
          <w:b/>
          <w:sz w:val="18"/>
        </w:rPr>
        <w:t>(0,5)</w:t>
      </w:r>
    </w:p>
    <w:p>
      <w:pPr>
        <w:pStyle w:val="Option"/>
        <w:keepLines/>
        <w:ind w:left="142" w:hanging="142"/>
      </w:pPr>
      <w:r>
        <w:rPr>
          <w:rFonts w:ascii="Arial" w:hAnsi="Arial" w:eastAsia="Arial"/>
          <w:sz w:val="18"/>
        </w:rPr>
        <w:t>A) aos jornalistas responsáveis pela produção profissional de notícias.</w:t>
      </w:r>
    </w:p>
    <w:p>
      <w:pPr>
        <w:pStyle w:val="Option"/>
        <w:keepLines/>
        <w:ind w:left="142" w:hanging="142"/>
      </w:pPr>
      <w:r>
        <w:rPr>
          <w:rFonts w:ascii="Arial" w:hAnsi="Arial" w:eastAsia="Arial"/>
          <w:sz w:val="18"/>
        </w:rPr>
        <w:t>B) aos professores responsáveis pelo ensino de educação digital.</w:t>
      </w:r>
    </w:p>
    <w:p>
      <w:pPr>
        <w:pStyle w:val="Option"/>
        <w:keepLines/>
        <w:ind w:left="142" w:hanging="142"/>
      </w:pPr>
      <w:r>
        <w:rPr>
          <w:rFonts w:ascii="Arial" w:hAnsi="Arial" w:eastAsia="Arial"/>
          <w:sz w:val="18"/>
        </w:rPr>
        <w:t>C) às famílias encarregadas de acompanhar o uso das redes pelos adolescentes.</w:t>
      </w:r>
    </w:p>
    <w:p>
      <w:pPr>
        <w:pStyle w:val="Option"/>
        <w:keepLines/>
        <w:ind w:left="142" w:hanging="142"/>
      </w:pPr>
      <w:r>
        <w:rPr>
          <w:rFonts w:ascii="Arial" w:hAnsi="Arial" w:eastAsia="Arial"/>
          <w:sz w:val="18"/>
        </w:rPr>
        <w:t>D) aos estudantes que utilizam redes sociais e podem compartilhar informações.</w:t>
      </w:r>
    </w:p>
    <w:p>
      <w:pPr>
        <w:pStyle w:val="Option"/>
        <w:keepLines/>
        <w:ind w:left="142" w:hanging="142"/>
      </w:pPr>
      <w:r>
        <w:rPr>
          <w:rFonts w:ascii="Arial" w:hAnsi="Arial" w:eastAsia="Arial"/>
          <w:sz w:val="18"/>
        </w:rPr>
        <w:t>E) aos profissionais responsáveis pela produção de conteúdos para a internet.</w:t>
      </w:r>
    </w:p>
    <w:p>
      <w:pPr>
        <w:pStyle w:val="Question"/>
        <w:keepNext/>
      </w:pPr>
      <w:r>
        <w:rPr>
          <w:rFonts w:ascii="Arial" w:hAnsi="Arial" w:eastAsia="Arial"/>
          <w:b/>
          <w:sz w:val="18"/>
        </w:rPr>
        <w:t xml:space="preserve">12 – No trecho “Você também é responsável pelo que circula nas redes”, o emprego do pronome “você” contribui para: </w:t>
      </w:r>
      <w:r>
        <w:rPr>
          <w:rFonts w:ascii="Arial" w:hAnsi="Arial" w:eastAsia="Arial"/>
          <w:b/>
          <w:sz w:val="18"/>
        </w:rPr>
        <w:t>(0,5)</w:t>
      </w:r>
    </w:p>
    <w:p>
      <w:pPr>
        <w:pStyle w:val="Option"/>
        <w:keepLines/>
        <w:ind w:left="142" w:hanging="142"/>
      </w:pPr>
      <w:r>
        <w:rPr>
          <w:rFonts w:ascii="Arial" w:hAnsi="Arial" w:eastAsia="Arial"/>
          <w:sz w:val="18"/>
        </w:rPr>
        <w:t>A) tornar a mensagem impessoal e afastar o leitor do assunto discutido.</w:t>
      </w:r>
    </w:p>
    <w:p>
      <w:pPr>
        <w:pStyle w:val="Option"/>
        <w:keepLines/>
        <w:ind w:left="142" w:hanging="142"/>
      </w:pPr>
      <w:r>
        <w:rPr>
          <w:rFonts w:ascii="Arial" w:hAnsi="Arial" w:eastAsia="Arial"/>
          <w:sz w:val="18"/>
        </w:rPr>
        <w:t>B) atribuir a uma única pessoa toda a responsabilidade pela circulação de informações falsas.</w:t>
      </w:r>
    </w:p>
    <w:p>
      <w:pPr>
        <w:pStyle w:val="Option"/>
        <w:keepLines/>
        <w:ind w:left="142" w:hanging="142"/>
      </w:pPr>
      <w:r>
        <w:rPr>
          <w:rFonts w:ascii="Arial" w:hAnsi="Arial" w:eastAsia="Arial"/>
          <w:sz w:val="18"/>
        </w:rPr>
        <w:t>C) apresentar uma opinião particular sem estabelecer diálogo com quem lê.</w:t>
      </w:r>
    </w:p>
    <w:p>
      <w:pPr>
        <w:pStyle w:val="Option"/>
        <w:keepLines/>
        <w:ind w:left="142" w:hanging="142"/>
      </w:pPr>
      <w:r>
        <w:rPr>
          <w:rFonts w:ascii="Arial" w:hAnsi="Arial" w:eastAsia="Arial"/>
          <w:sz w:val="18"/>
        </w:rPr>
        <w:t>D) substituir o nome da instituição responsável pela produção da mensagem.</w:t>
      </w:r>
    </w:p>
    <w:p>
      <w:pPr>
        <w:pStyle w:val="Option"/>
        <w:keepLines/>
        <w:ind w:left="142" w:hanging="142"/>
      </w:pPr>
      <w:r>
        <w:rPr>
          <w:rFonts w:ascii="Arial" w:hAnsi="Arial" w:eastAsia="Arial"/>
          <w:sz w:val="18"/>
        </w:rPr>
        <w:t>E) estabelecer uma interlocução direta com o leitor e envolvê-lo na responsabilidade discutida.</w:t>
      </w:r>
    </w:p>
    <w:tbl>
      <w:tblPr>
        <w:tblW w:type="auto" w:w="0"/>
        <w:jc w:val="center"/>
        <w:tblLayout w:type="autofit"/>
        <w:tblLook w:firstColumn="1" w:firstRow="1" w:lastColumn="0" w:lastRow="0" w:noHBand="0" w:noVBand="1" w:val="04A0"/>
      </w:tblPr>
      <w:tblGrid>
        <w:gridCol w:w="11220"/>
      </w:tblGrid>
      <w:tr>
        <w:trPr>
          <w:cantSplit/>
        </w:trPr>
        <w:tc>
          <w:tcPr>
            <w:tcW w:type="dxa" w:w="11220"/>
            <w:shd w:fill="E7EEF6"/>
            <w:tcMar>
              <w:top w:w="45" w:type="dxa"/>
              <w:start w:w="70" w:type="dxa"/>
              <w:bottom w:w="45" w:type="dxa"/>
              <w:end w:w="70" w:type="dxa"/>
            </w:tcMar>
          </w:tcPr>
          <w:p>
            <w:pPr>
              <w:spacing w:after="0" w:line="240" w:lineRule="auto"/>
              <w:jc w:val="left"/>
            </w:pPr>
            <w:r>
              <w:rPr>
                <w:rFonts w:ascii="Arial" w:hAnsi="Arial" w:eastAsia="Arial"/>
                <w:b/>
                <w:sz w:val="18"/>
              </w:rPr>
              <w:t>TEXTO V — UM NOVO ESPAÇO NA ESCOLA</w:t>
            </w:r>
          </w:p>
        </w:tc>
      </w:tr>
    </w:tbl>
    <w:p>
      <w:pPr>
        <w:spacing w:after="0" w:line="240" w:lineRule="auto"/>
        <w:ind w:firstLine="283"/>
      </w:pPr>
      <w:r>
        <w:rPr>
          <w:rFonts w:ascii="Arial" w:hAnsi="Arial" w:eastAsia="Arial"/>
          <w:i w:val="0"/>
          <w:sz w:val="18"/>
        </w:rPr>
        <w:t>A biblioteca da Escola Horizonte passou a funcionar também durante o intervalo a partir deste mês. Segundo a direção, 143 estudantes utilizaram o espaço na primeira semana do novo horário.</w:t>
      </w:r>
    </w:p>
    <w:p>
      <w:pPr>
        <w:spacing w:after="0" w:line="240" w:lineRule="auto"/>
        <w:ind w:firstLine="283"/>
      </w:pPr>
      <w:r>
        <w:rPr>
          <w:rFonts w:ascii="Arial" w:hAnsi="Arial" w:eastAsia="Arial"/>
          <w:i w:val="0"/>
          <w:sz w:val="18"/>
        </w:rPr>
        <w:t>Para Ana, estudante da 1ª série, a mudança foi muito positiva: “Foi uma excelente decisão. Agora a biblioteca está muito mais acolhedora e útil para nós.”</w:t>
      </w:r>
    </w:p>
    <w:p>
      <w:pPr>
        <w:spacing w:after="0" w:line="240" w:lineRule="auto"/>
        <w:ind w:firstLine="283"/>
      </w:pPr>
      <w:r>
        <w:rPr>
          <w:rFonts w:ascii="Arial" w:hAnsi="Arial" w:eastAsia="Arial"/>
          <w:i w:val="0"/>
          <w:sz w:val="18"/>
        </w:rPr>
        <w:t>A direção informou que o funcionamento será avaliado novamente ao final do trimestre.</w:t>
      </w:r>
    </w:p>
    <w:p>
      <w:pPr>
        <w:pStyle w:val="Question"/>
        <w:keepNext/>
      </w:pPr>
      <w:r>
        <w:rPr>
          <w:rFonts w:ascii="Arial" w:hAnsi="Arial" w:eastAsia="Arial"/>
          <w:b/>
          <w:sz w:val="18"/>
        </w:rPr>
        <w:t xml:space="preserve">13 – Qual dos trechos a seguir apresenta um fato, e não uma opinião sobre a mudança realizada na biblioteca? </w:t>
      </w:r>
      <w:r>
        <w:rPr>
          <w:rFonts w:ascii="Arial" w:hAnsi="Arial" w:eastAsia="Arial"/>
          <w:b/>
          <w:sz w:val="18"/>
        </w:rPr>
        <w:t>(0,5)</w:t>
      </w:r>
    </w:p>
    <w:p>
      <w:pPr>
        <w:pStyle w:val="Option"/>
        <w:keepLines/>
        <w:ind w:left="142" w:hanging="142"/>
      </w:pPr>
      <w:r>
        <w:rPr>
          <w:rFonts w:ascii="Arial" w:hAnsi="Arial" w:eastAsia="Arial"/>
          <w:sz w:val="18"/>
        </w:rPr>
        <w:t>A) “Foi uma excelente decisão.”</w:t>
      </w:r>
    </w:p>
    <w:p>
      <w:pPr>
        <w:pStyle w:val="Option"/>
        <w:keepLines/>
        <w:ind w:left="142" w:hanging="142"/>
      </w:pPr>
      <w:r>
        <w:rPr>
          <w:rFonts w:ascii="Arial" w:hAnsi="Arial" w:eastAsia="Arial"/>
          <w:sz w:val="18"/>
        </w:rPr>
        <w:t>B) “A biblioteca está muito mais acolhedora.”</w:t>
      </w:r>
    </w:p>
    <w:p>
      <w:pPr>
        <w:pStyle w:val="Option"/>
        <w:keepLines/>
        <w:ind w:left="142" w:hanging="142"/>
      </w:pPr>
      <w:r>
        <w:rPr>
          <w:rFonts w:ascii="Arial" w:hAnsi="Arial" w:eastAsia="Arial"/>
          <w:sz w:val="18"/>
        </w:rPr>
        <w:t>C) “A mudança foi muito positiva.”</w:t>
      </w:r>
    </w:p>
    <w:p>
      <w:pPr>
        <w:pStyle w:val="Option"/>
        <w:keepLines/>
        <w:ind w:left="142" w:hanging="142"/>
      </w:pPr>
      <w:r>
        <w:rPr>
          <w:rFonts w:ascii="Arial" w:hAnsi="Arial" w:eastAsia="Arial"/>
          <w:sz w:val="18"/>
        </w:rPr>
        <w:t>D) “143 estudantes utilizaram o espaço na primeira semana do novo horário.”</w:t>
      </w:r>
    </w:p>
    <w:p>
      <w:pPr>
        <w:pStyle w:val="Option"/>
        <w:keepLines/>
        <w:ind w:left="142" w:hanging="142"/>
      </w:pPr>
      <w:r>
        <w:rPr>
          <w:rFonts w:ascii="Arial" w:hAnsi="Arial" w:eastAsia="Arial"/>
          <w:sz w:val="18"/>
        </w:rPr>
        <w:t>E) “A biblioteca está mais útil para nós.”</w:t>
      </w:r>
    </w:p>
    <w:p>
      <w:pPr>
        <w:pStyle w:val="Question"/>
        <w:keepNext/>
      </w:pPr>
      <w:r>
        <w:rPr>
          <w:rFonts w:ascii="Arial" w:hAnsi="Arial" w:eastAsia="Arial"/>
          <w:b/>
          <w:sz w:val="18"/>
        </w:rPr>
        <w:t xml:space="preserve">14 – No comentário da estudante, as palavras “excelente”, “acolhedora” e “útil” revelam: </w:t>
      </w:r>
      <w:r>
        <w:rPr>
          <w:rFonts w:ascii="Arial" w:hAnsi="Arial" w:eastAsia="Arial"/>
          <w:b/>
          <w:sz w:val="18"/>
        </w:rPr>
        <w:t>(0,5)</w:t>
      </w:r>
    </w:p>
    <w:p>
      <w:pPr>
        <w:pStyle w:val="Option"/>
        <w:keepLines/>
        <w:ind w:left="142" w:hanging="142"/>
      </w:pPr>
      <w:r>
        <w:rPr>
          <w:rFonts w:ascii="Arial" w:hAnsi="Arial" w:eastAsia="Arial"/>
          <w:sz w:val="18"/>
        </w:rPr>
        <w:t>A) dados quantitativos utilizados para comprovar o sucesso da mudança.</w:t>
      </w:r>
    </w:p>
    <w:p>
      <w:pPr>
        <w:pStyle w:val="Option"/>
        <w:keepLines/>
        <w:ind w:left="142" w:hanging="142"/>
      </w:pPr>
      <w:r>
        <w:rPr>
          <w:rFonts w:ascii="Arial" w:hAnsi="Arial" w:eastAsia="Arial"/>
          <w:sz w:val="18"/>
        </w:rPr>
        <w:t>B) informações apresentadas de forma neutra sobre o funcionamento da biblioteca.</w:t>
      </w:r>
    </w:p>
    <w:p>
      <w:pPr>
        <w:pStyle w:val="Option"/>
        <w:keepLines/>
        <w:ind w:left="142" w:hanging="142"/>
      </w:pPr>
      <w:r>
        <w:rPr>
          <w:rFonts w:ascii="Arial" w:hAnsi="Arial" w:eastAsia="Arial"/>
          <w:sz w:val="18"/>
        </w:rPr>
        <w:t>C) características técnicas utilizadas para avaliar a estrutura física do espaço.</w:t>
      </w:r>
    </w:p>
    <w:p>
      <w:pPr>
        <w:pStyle w:val="Option"/>
        <w:keepLines/>
        <w:ind w:left="142" w:hanging="142"/>
      </w:pPr>
      <w:r>
        <w:rPr>
          <w:rFonts w:ascii="Arial" w:hAnsi="Arial" w:eastAsia="Arial"/>
          <w:sz w:val="18"/>
        </w:rPr>
        <w:t>D) uma comparação objetiva entre a biblioteca da escola e outras bibliotecas.</w:t>
      </w:r>
    </w:p>
    <w:p>
      <w:pPr>
        <w:pStyle w:val="Option"/>
        <w:keepLines/>
        <w:ind w:left="142" w:hanging="142"/>
      </w:pPr>
      <w:r>
        <w:rPr>
          <w:rFonts w:ascii="Arial" w:hAnsi="Arial" w:eastAsia="Arial"/>
          <w:sz w:val="18"/>
        </w:rPr>
        <w:t>E) uma avaliação positiva da estudante sobre a mudança realizada.</w:t>
      </w:r>
    </w:p>
    <w:sectPr w:rsidR="00FC693F" w:rsidRPr="0006063C" w:rsidSect="00034616">
      <w:footerReference w:type="default" r:id="rId9"/>
      <w:pgSz w:w="12240" w:h="15840"/>
      <w:pgMar w:top="510" w:right="510" w:bottom="510" w:left="51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sz w:val="14"/>
      </w:rPr>
      <w:t>Avaliação de Recomposição — Língua Portuguesa</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40" w:lineRule="auto"/>
    </w:pPr>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Title">
    <w:name w:val="CompactTitle"/>
    <w:pPr>
      <w:spacing w:before="0" w:after="40" w:line="240" w:lineRule="auto"/>
    </w:pPr>
    <w:rPr>
      <w:rFonts w:ascii="Arial" w:hAnsi="Arial" w:eastAsia="Arial"/>
      <w:b/>
      <w:sz w:val="22"/>
    </w:rPr>
  </w:style>
  <w:style w:type="paragraph" w:customStyle="1" w:styleId="CompactSubtitle">
    <w:name w:val="CompactSubtitle"/>
    <w:pPr>
      <w:spacing w:before="0" w:after="40" w:line="240" w:lineRule="auto"/>
    </w:pPr>
    <w:rPr>
      <w:rFonts w:ascii="Arial" w:hAnsi="Arial" w:eastAsia="Arial"/>
      <w:b/>
      <w:sz w:val="18"/>
    </w:rPr>
  </w:style>
  <w:style w:type="paragraph" w:customStyle="1" w:styleId="TextHeading">
    <w:name w:val="TextHeading"/>
    <w:pPr>
      <w:spacing w:before="60" w:after="20" w:line="240" w:lineRule="auto"/>
    </w:pPr>
    <w:rPr>
      <w:rFonts w:ascii="Arial" w:hAnsi="Arial" w:eastAsia="Arial"/>
      <w:b/>
      <w:sz w:val="18"/>
    </w:rPr>
  </w:style>
  <w:style w:type="paragraph" w:customStyle="1" w:styleId="Question">
    <w:name w:val="Question"/>
    <w:pPr>
      <w:spacing w:before="60" w:after="0" w:line="240" w:lineRule="auto"/>
    </w:pPr>
    <w:rPr>
      <w:rFonts w:ascii="Arial" w:hAnsi="Arial" w:eastAsia="Arial"/>
      <w:b/>
      <w:sz w:val="18"/>
    </w:rPr>
  </w:style>
  <w:style w:type="paragraph" w:customStyle="1" w:styleId="Option">
    <w:name w:val="Option"/>
    <w:pPr>
      <w:spacing w:before="0" w:after="0" w:line="240" w:lineRule="auto"/>
    </w:pPr>
    <w:rPr>
      <w:rFonts w:ascii="Arial" w:hAnsi="Arial" w:eastAsia="Arial"/>
      <w:b w:val="0"/>
      <w:sz w:val="18"/>
    </w:rPr>
  </w:style>
  <w:style w:type="paragraph" w:customStyle="1" w:styleId="Note">
    <w:name w:val="Note"/>
    <w:pPr>
      <w:spacing w:before="0" w:after="20" w:line="240" w:lineRule="auto"/>
    </w:pPr>
    <w:rPr>
      <w:rFonts w:ascii="Arial" w:hAnsi="Arial" w:eastAsia="Arial"/>
      <w:b w:val="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Avaliação de Recomposição da Aprendizagem — Língua Portuguesa</dc:title>
  <dc:subject>Versão do aluno — Arial 9, espaçamento simples, layout compacto</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